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866DE" w14:textId="6F73A339" w:rsidR="00E11DEE" w:rsidRDefault="00E11DEE" w:rsidP="00320683">
      <w:pPr>
        <w:pStyle w:val="Cmsor1"/>
        <w:jc w:val="center"/>
      </w:pPr>
      <w:r>
        <w:t>2. számú melléklet</w:t>
      </w:r>
    </w:p>
    <w:p w14:paraId="3271FA06" w14:textId="516C89E9" w:rsidR="00E11DEE" w:rsidRDefault="00E11DEE" w:rsidP="00320683">
      <w:pPr>
        <w:pStyle w:val="Cmsor1"/>
        <w:jc w:val="center"/>
      </w:pPr>
      <w:r>
        <w:t>Vakok és Gyengénlátók Hermina Egyesülete</w:t>
      </w:r>
    </w:p>
    <w:p w14:paraId="59052AAF" w14:textId="078AC353" w:rsidR="00E11DEE" w:rsidRDefault="00E11DEE" w:rsidP="00320683">
      <w:pPr>
        <w:pStyle w:val="Cmsor1"/>
        <w:jc w:val="center"/>
      </w:pPr>
      <w:r>
        <w:t>Elnöki beszámoló</w:t>
      </w:r>
    </w:p>
    <w:p w14:paraId="070CDF10" w14:textId="78B3545D" w:rsidR="00E11DEE" w:rsidRDefault="00E11DEE" w:rsidP="00320683">
      <w:pPr>
        <w:pStyle w:val="Cmsor1"/>
        <w:jc w:val="center"/>
      </w:pPr>
      <w:r>
        <w:t>2025.06.20-2025.08.28.</w:t>
      </w:r>
    </w:p>
    <w:p w14:paraId="03F2754D" w14:textId="77777777" w:rsidR="00E11DEE" w:rsidRDefault="00E11DEE"/>
    <w:p w14:paraId="431AFC19" w14:textId="12488A68" w:rsidR="007A1374" w:rsidRDefault="005E1A5A">
      <w:r>
        <w:t>Választó közgyűlés lebonyolítása:</w:t>
      </w:r>
    </w:p>
    <w:p w14:paraId="17BE14C9" w14:textId="762C3B3D" w:rsidR="005E1A5A" w:rsidRDefault="00C96755">
      <w:r>
        <w:t>Július 12-én lezajlott a választó közgyűlés. Minden rendben volt, észrevétel/panasz nem érkezett.</w:t>
      </w:r>
    </w:p>
    <w:p w14:paraId="30BE88D9" w14:textId="77777777" w:rsidR="00C96755" w:rsidRDefault="00C96755"/>
    <w:p w14:paraId="390A0140" w14:textId="6481AD07" w:rsidR="005E1A5A" w:rsidRDefault="005E1A5A">
      <w:r>
        <w:t>Braille nyomtató beszerzése:</w:t>
      </w:r>
    </w:p>
    <w:p w14:paraId="3AFC2D8A" w14:textId="38C9A57A" w:rsidR="005E1A5A" w:rsidRDefault="00C96755">
      <w:r>
        <w:t xml:space="preserve">Elindult az egyesület Braille nyomtatójának beszerzése. Bálint tájékoztatása szerint a nyomtató augusztus 28-án érkezik irodánkba. Az őszi tájékoztatólevelet a tagdíjfizetési időszakról, a pályázati lehetőségekről már ezzel szeretnénk előállítani. Az alábbi nyomtató került beszerzésre (FIGYELEM! Az adatlapon a nyomtató típusánál át kell állítani a lenyitható listát a </w:t>
      </w:r>
      <w:proofErr w:type="spellStart"/>
      <w:r>
        <w:t>sheet</w:t>
      </w:r>
      <w:proofErr w:type="spellEnd"/>
      <w:r>
        <w:t xml:space="preserve"> nyomtatóra, mivel nem </w:t>
      </w:r>
      <w:proofErr w:type="spellStart"/>
      <w:r>
        <w:t>leporellósat</w:t>
      </w:r>
      <w:proofErr w:type="spellEnd"/>
      <w:r>
        <w:t xml:space="preserve"> vettünk)</w:t>
      </w:r>
      <w:r w:rsidR="00320683">
        <w:t>:</w:t>
      </w:r>
    </w:p>
    <w:p w14:paraId="2380C9DB" w14:textId="6AA3B400" w:rsidR="00320683" w:rsidRDefault="00320683">
      <w:hyperlink r:id="rId4" w:history="1">
        <w:proofErr w:type="spellStart"/>
        <w:r w:rsidRPr="00320683">
          <w:rPr>
            <w:rStyle w:val="Hiperhivatkozs"/>
          </w:rPr>
          <w:t>Alko-Soft</w:t>
        </w:r>
        <w:proofErr w:type="spellEnd"/>
        <w:r w:rsidRPr="00320683">
          <w:rPr>
            <w:rStyle w:val="Hiperhivatkozs"/>
          </w:rPr>
          <w:t xml:space="preserve"> / VP </w:t>
        </w:r>
        <w:proofErr w:type="spellStart"/>
        <w:r w:rsidRPr="00320683">
          <w:rPr>
            <w:rStyle w:val="Hiperhivatkozs"/>
          </w:rPr>
          <w:t>Rogue</w:t>
        </w:r>
        <w:proofErr w:type="spellEnd"/>
        <w:r w:rsidRPr="00320683">
          <w:rPr>
            <w:rStyle w:val="Hiperhivatkozs"/>
          </w:rPr>
          <w:t xml:space="preserve"> </w:t>
        </w:r>
        <w:proofErr w:type="spellStart"/>
        <w:r w:rsidRPr="00320683">
          <w:rPr>
            <w:rStyle w:val="Hiperhivatkozs"/>
          </w:rPr>
          <w:t>braille</w:t>
        </w:r>
        <w:proofErr w:type="spellEnd"/>
        <w:r w:rsidRPr="00320683">
          <w:rPr>
            <w:rStyle w:val="Hiperhivatkozs"/>
          </w:rPr>
          <w:t xml:space="preserve"> nyomtató</w:t>
        </w:r>
      </w:hyperlink>
    </w:p>
    <w:p w14:paraId="79B9413E" w14:textId="77777777" w:rsidR="00320683" w:rsidRDefault="00320683"/>
    <w:p w14:paraId="756AB6B8" w14:textId="77777777" w:rsidR="005E1A5A" w:rsidRDefault="005E1A5A" w:rsidP="005E1A5A">
      <w:r>
        <w:t>MVGYOSZ költségvetési támogatás elszámolása:</w:t>
      </w:r>
    </w:p>
    <w:p w14:paraId="48FBBA9B" w14:textId="77777777" w:rsidR="00320683" w:rsidRDefault="00C96755">
      <w:r>
        <w:t>Idén sajnos nagyon megcsúszott az MVGYOSZ költségvetési támogatásával kapcsolatos szerződéskötés és utalás, ezáltal az elszámolási anyagok megküldése, és az I. féléves elszámolási határidő is. Tekintettel arra, hogy új elnökség van, pár adatot szeretnék ismertetni.</w:t>
      </w:r>
    </w:p>
    <w:p w14:paraId="34FB3037" w14:textId="2262F272" w:rsidR="00E40CA8" w:rsidRDefault="00C96755">
      <w:pPr>
        <w:rPr>
          <w:b/>
          <w:bCs/>
        </w:rPr>
      </w:pPr>
      <w:r>
        <w:t xml:space="preserve">Egyesületünk idei költségvetési támogatásának pontos összege </w:t>
      </w:r>
      <w:r w:rsidR="00E40CA8" w:rsidRPr="00E40CA8">
        <w:rPr>
          <w:b/>
          <w:bCs/>
        </w:rPr>
        <w:t>12022240</w:t>
      </w:r>
      <w:r w:rsidR="00E40CA8">
        <w:rPr>
          <w:b/>
          <w:bCs/>
        </w:rPr>
        <w:t xml:space="preserve"> Ft. Az MVGYOSZ SZJA 1% összege pedig </w:t>
      </w:r>
      <w:r w:rsidR="00E40CA8" w:rsidRPr="00E40CA8">
        <w:rPr>
          <w:b/>
          <w:bCs/>
        </w:rPr>
        <w:t>2227113</w:t>
      </w:r>
      <w:r w:rsidR="00E40CA8">
        <w:rPr>
          <w:b/>
          <w:bCs/>
        </w:rPr>
        <w:t xml:space="preserve"> Ft.</w:t>
      </w:r>
    </w:p>
    <w:p w14:paraId="50EEC363" w14:textId="622EB5A4" w:rsidR="00E40CA8" w:rsidRDefault="00E40CA8">
      <w:pPr>
        <w:rPr>
          <w:b/>
          <w:bCs/>
        </w:rPr>
      </w:pPr>
      <w:r>
        <w:rPr>
          <w:b/>
          <w:bCs/>
        </w:rPr>
        <w:t xml:space="preserve">2024-ben a költségvetési támogatás összege </w:t>
      </w:r>
      <w:r w:rsidRPr="00E40CA8">
        <w:rPr>
          <w:b/>
          <w:bCs/>
        </w:rPr>
        <w:t>11057815</w:t>
      </w:r>
      <w:r>
        <w:rPr>
          <w:b/>
          <w:bCs/>
        </w:rPr>
        <w:t xml:space="preserve"> Ft, míg az MVGYOSZ SZJA 1% összege </w:t>
      </w:r>
      <w:r w:rsidRPr="00E40CA8">
        <w:rPr>
          <w:b/>
          <w:bCs/>
        </w:rPr>
        <w:t>2061081</w:t>
      </w:r>
      <w:r>
        <w:rPr>
          <w:b/>
          <w:bCs/>
        </w:rPr>
        <w:t xml:space="preserve"> Ft volt.</w:t>
      </w:r>
    </w:p>
    <w:p w14:paraId="0085C36D" w14:textId="7D556ACA" w:rsidR="005E1A5A" w:rsidRDefault="00E40CA8">
      <w:pPr>
        <w:rPr>
          <w:b/>
          <w:bCs/>
        </w:rPr>
      </w:pPr>
      <w:r>
        <w:rPr>
          <w:b/>
          <w:bCs/>
        </w:rPr>
        <w:t xml:space="preserve">2023-ban a költségvetési támogatás </w:t>
      </w:r>
      <w:r w:rsidRPr="00E40CA8">
        <w:rPr>
          <w:b/>
          <w:bCs/>
        </w:rPr>
        <w:t>8247044</w:t>
      </w:r>
      <w:r>
        <w:rPr>
          <w:b/>
          <w:bCs/>
        </w:rPr>
        <w:t xml:space="preserve"> Ft, míg az MVGYOSZ SZJA 1% </w:t>
      </w:r>
      <w:r w:rsidRPr="00E40CA8">
        <w:rPr>
          <w:b/>
          <w:bCs/>
        </w:rPr>
        <w:t>1639591</w:t>
      </w:r>
      <w:r>
        <w:rPr>
          <w:b/>
          <w:bCs/>
        </w:rPr>
        <w:t xml:space="preserve"> Ft volt.</w:t>
      </w:r>
    </w:p>
    <w:p w14:paraId="6FBFEB42" w14:textId="6EBEA6DE" w:rsidR="00E40CA8" w:rsidRDefault="00E40CA8">
      <w:pPr>
        <w:rPr>
          <w:b/>
          <w:bCs/>
        </w:rPr>
      </w:pPr>
      <w:r>
        <w:rPr>
          <w:b/>
          <w:bCs/>
        </w:rPr>
        <w:lastRenderedPageBreak/>
        <w:t>Ebből jól látszi</w:t>
      </w:r>
      <w:r w:rsidR="00184DEA">
        <w:rPr>
          <w:b/>
          <w:bCs/>
        </w:rPr>
        <w:t>k</w:t>
      </w:r>
      <w:r>
        <w:rPr>
          <w:b/>
          <w:bCs/>
        </w:rPr>
        <w:t xml:space="preserve"> az az ugrás, amit a 2023-as szakmai teljesítményünkkel értünk el. Természetesen azt is bele kell számítani, hogy több év után a költségvetésben szereplő támogatás mértékét is növelték 10</w:t>
      </w:r>
      <w:r w:rsidR="00184DEA">
        <w:rPr>
          <w:b/>
          <w:bCs/>
        </w:rPr>
        <w:t xml:space="preserve"> </w:t>
      </w:r>
      <w:r>
        <w:rPr>
          <w:b/>
          <w:bCs/>
        </w:rPr>
        <w:t>%-</w:t>
      </w:r>
      <w:r w:rsidR="00184DEA">
        <w:rPr>
          <w:b/>
          <w:bCs/>
        </w:rPr>
        <w:t>k</w:t>
      </w:r>
      <w:r>
        <w:rPr>
          <w:b/>
          <w:bCs/>
        </w:rPr>
        <w:t>al</w:t>
      </w:r>
      <w:r w:rsidR="00184DEA">
        <w:rPr>
          <w:b/>
          <w:bCs/>
        </w:rPr>
        <w:t xml:space="preserve"> 2023-ban</w:t>
      </w:r>
      <w:r>
        <w:rPr>
          <w:b/>
          <w:bCs/>
        </w:rPr>
        <w:t xml:space="preserve">. A 2024-es évünk sajnos kevésbé sikerült jól, mivel a lendületünk picit elfogyott, és több belső problémával találkoztunk, </w:t>
      </w:r>
      <w:r w:rsidR="00184DEA">
        <w:rPr>
          <w:b/>
          <w:bCs/>
        </w:rPr>
        <w:t>így számaink stagnáltak. Á</w:t>
      </w:r>
      <w:r>
        <w:rPr>
          <w:b/>
          <w:bCs/>
        </w:rPr>
        <w:t xml:space="preserve">m </w:t>
      </w:r>
      <w:r w:rsidR="00184DEA">
        <w:rPr>
          <w:b/>
          <w:bCs/>
        </w:rPr>
        <w:t xml:space="preserve">2025 </w:t>
      </w:r>
      <w:r>
        <w:rPr>
          <w:b/>
          <w:bCs/>
        </w:rPr>
        <w:t>elején azonosítottuk azokat a területeket, amelyeken pontokat vesztettünk, és idén jobban terveztünk, például a szemléletformáló alkalmakból, ami az egyik legfontosabb mutató ebben a rendszerben, idén már több pontunk van, mint tavaly összesen.</w:t>
      </w:r>
    </w:p>
    <w:p w14:paraId="1FD171AD" w14:textId="6E95D69B" w:rsidR="00C96755" w:rsidRDefault="00E40CA8">
      <w:r>
        <w:t>Az MVGYOSZ a költségvetési támogatást az alapján osztja el, hogy az általuk felállított szakmai szempontrendszerben hány pontot értünk el</w:t>
      </w:r>
      <w:r w:rsidR="00344F41">
        <w:t>, hány aktív tagunk van, valamint van egy alapösszeg, amelyet minden egyesület megkap</w:t>
      </w:r>
      <w:r>
        <w:t xml:space="preserve">. </w:t>
      </w:r>
      <w:r w:rsidR="00344F41">
        <w:t>A</w:t>
      </w:r>
      <w:r>
        <w:t xml:space="preserve"> szakmai szempontrendszert idén év elején változtatták meg. Annak érdekében, hogy mindenki tanulmányozni tudja, mellékletben ezt is megküldöm. Arra kérek mindenkit, hogy olvassa át, és ha van javaslata, egyeztessünk róla. Minden újítást sz</w:t>
      </w:r>
      <w:r w:rsidR="00344F41">
        <w:t>í</w:t>
      </w:r>
      <w:r>
        <w:t>vesen fogadunk, és teljesen nyitottak vagyunk a munkatársakkal, azonban arra is figyelnünk kell, hogy a kialakult gyakorlatokat, munkafolyamatokat ne borítsuk fel</w:t>
      </w:r>
      <w:r w:rsidR="00344F41">
        <w:t xml:space="preserve">. Ezen túl, tekintettel a humánerőforrás korlátozottságára, bizonyos mutatókat azért engedünk el, hogy más, szerintünk fontosabb </w:t>
      </w:r>
      <w:proofErr w:type="gramStart"/>
      <w:r w:rsidR="00344F41">
        <w:t>területen  jobb</w:t>
      </w:r>
      <w:proofErr w:type="gramEnd"/>
      <w:r w:rsidR="00344F41">
        <w:t xml:space="preserve"> eredményt érjünk el.</w:t>
      </w:r>
    </w:p>
    <w:p w14:paraId="75578206" w14:textId="19D270EA" w:rsidR="00344F41" w:rsidRDefault="00344F41">
      <w:r>
        <w:t>Ahogy írtam, az idei szerződéskötés és utalás sokat csúszott. Az idei támogatást csak júliusban utalták át, de nekünk már január óta költenünk kellett, mivel az I. féléves elszámolási határidő általában július 31, eddig pedig el kell költenünk és el kell számolnunk a támogatás összegének 50 százalékával. Általában a szabadságolásokat is ehhez igazítjuk, ezért volt zárva az iroda augusztus 11-től augusztus 22-ig. Sajnos idén, a támogatási szerződés és utalás késése miatt, az I. féléves elszámolást augusztus 22-re rakták. A már előzetesen kiadott szabadságolások miatt gyorsan és nagyon precízen kellett munkatársainknak dolgozni, hogy az elszámolást augusztus 8-ig el tudjuk készíteni. Szerencsére ez sikerült, ebben hatalmas munkája volt Huszár Vanda titkárságvezetőnek, és Kozma Imre adminisztrátornak, ezúton köszönöm a munkájukat.</w:t>
      </w:r>
    </w:p>
    <w:p w14:paraId="01F0C430" w14:textId="77777777" w:rsidR="00E40CA8" w:rsidRDefault="00E40CA8"/>
    <w:p w14:paraId="645D35C0" w14:textId="457E56BA" w:rsidR="00C96755" w:rsidRDefault="00C96755">
      <w:r>
        <w:t>Áram és gáz átkérése diktálásra:</w:t>
      </w:r>
    </w:p>
    <w:p w14:paraId="01B483D9" w14:textId="77245C7D" w:rsidR="00C96755" w:rsidRDefault="00344F41">
      <w:r>
        <w:t>Bár már többször kértem, hogy az áramot és a gázt diktálás alapján fizesse egyesületünk, ez mindig visszaáll átalányra. Sajnos az átalánnyal az a gond, hogy többet fizetünk, mint ami a tényleges fogyasztás. Ezt természetesen visszakapnánk, ám csak az éves leolvasás után, ami minden év elején van. Mivel ezek rezsiköltsége</w:t>
      </w:r>
      <w:r w:rsidR="00D7172A">
        <w:t>k</w:t>
      </w:r>
      <w:r>
        <w:t>, így az MVGYOSZ költségvetési támogatásába szeretnénk őket elszámolni, viszont ezt nem tudjuk megtenni, hogyha túlfizetésünk van, illetve, ha kevesebbet fizettünk, és majd jövő év elején számláznak még ki plusz összeget, hiszen a kifizetésnek és a teljesítésnek is 2025-ben kell megtörténnie. Emiatt ismételten neki futottunk a diktálásra történő átállásnak, elméletileg ismételten sikerrel, meglátjuk mi lesz a vége.</w:t>
      </w:r>
    </w:p>
    <w:p w14:paraId="48D1444F" w14:textId="77777777" w:rsidR="00344F41" w:rsidRDefault="00344F41"/>
    <w:p w14:paraId="2F16FE32" w14:textId="4D3806F0" w:rsidR="00C469F7" w:rsidRDefault="00C469F7">
      <w:r>
        <w:t>MÁK közbenső ellenőrzés:</w:t>
      </w:r>
    </w:p>
    <w:p w14:paraId="42296B07" w14:textId="48FD2AD6" w:rsidR="00C469F7" w:rsidRDefault="00344F41">
      <w:r>
        <w:t>Az államkincstár jelezte, hogy 2025. szeptember 2-án tartja egyesületünknél a 2025. évi közbenső ellenőrzés</w:t>
      </w:r>
      <w:r w:rsidR="00D7172A">
        <w:t>t</w:t>
      </w:r>
      <w:r>
        <w:t xml:space="preserve"> az akkreditációs bértámogatással összefüggésben.</w:t>
      </w:r>
    </w:p>
    <w:p w14:paraId="04855F1A" w14:textId="77777777" w:rsidR="00344F41" w:rsidRDefault="00344F41"/>
    <w:p w14:paraId="0BCE9E47" w14:textId="50BC3508" w:rsidR="00C96755" w:rsidRDefault="00C96755">
      <w:r>
        <w:t>Fellebbezés a Kátai-Németh Vilmos által az egyesület ellen indított perben</w:t>
      </w:r>
      <w:r w:rsidR="009829AC">
        <w:t>:</w:t>
      </w:r>
    </w:p>
    <w:p w14:paraId="50471E9F" w14:textId="7F5E094B" w:rsidR="00C96755" w:rsidRDefault="00284BA2">
      <w:r>
        <w:t xml:space="preserve">Egyesületünk Dr. Ozvári Ádám ügyvédúrral előkészítette az </w:t>
      </w:r>
      <w:r w:rsidR="00E91C72">
        <w:t>elsőfokú</w:t>
      </w:r>
      <w:r>
        <w:t xml:space="preserve"> ítélettel szembeni fellebbezést, mivel a határozatot ellentmondásosnak </w:t>
      </w:r>
      <w:r w:rsidR="009829AC">
        <w:t>és jogilag megalapozatlannak tartjuk. A fellebbezés beadásra került.</w:t>
      </w:r>
      <w:r w:rsidR="00E91C72">
        <w:t xml:space="preserve"> Bízunk benne, hogy a másodfokú bíróság körültekintően, és a jogszabályokat megfelelően alkalmazva, az egyesületnek kedvezően fogja megváltoztatni az elsőfokú bíróság ítéletét.</w:t>
      </w:r>
    </w:p>
    <w:p w14:paraId="10B68117" w14:textId="77777777" w:rsidR="00284BA2" w:rsidRDefault="00284BA2"/>
    <w:p w14:paraId="535815AB" w14:textId="2BAB92DC" w:rsidR="00C96755" w:rsidRDefault="00C96755">
      <w:r>
        <w:t>Nagykőrösi közös főzés:</w:t>
      </w:r>
    </w:p>
    <w:p w14:paraId="2912A7FF" w14:textId="36640860" w:rsidR="00C96755" w:rsidRDefault="00E91C72">
      <w:r>
        <w:t>Augusztus 23-án lezajlott Nagykőrösön a szokásos közös főzés. A rendezvényt a SPAR 100000 Ft-os vásárlási utalvánnyal támogatta, illetve az egyesület is finanszírozta 150000 Ft-</w:t>
      </w:r>
      <w:r w:rsidR="003864FB">
        <w:t>t</w:t>
      </w:r>
      <w:r>
        <w:t>al. Közel 60 személy vett részt a rendezvényen, ami idén is fantasztikusan sikerült, köszönjük Faragó Lászlóné Arankának és segítőinek az odaadó munkáját!</w:t>
      </w:r>
    </w:p>
    <w:p w14:paraId="2EC51AED" w14:textId="77777777" w:rsidR="00E91C72" w:rsidRDefault="00E91C72"/>
    <w:p w14:paraId="2098F76B" w14:textId="700F35DD" w:rsidR="00C96755" w:rsidRDefault="00C96755">
      <w:r>
        <w:t>Hermina születésnap:</w:t>
      </w:r>
    </w:p>
    <w:p w14:paraId="14F8A9A4" w14:textId="0EE84E50" w:rsidR="00C96755" w:rsidRDefault="00AB4844">
      <w:r>
        <w:t>Már célegyenesben van az egyesület 20 éves születésnapjainak szervezése. Két rendezvényt tartunk, egy kisebbet azoknak, aki</w:t>
      </w:r>
      <w:r w:rsidR="003864FB">
        <w:t>k</w:t>
      </w:r>
      <w:r>
        <w:t xml:space="preserve"> sokat dolgoztak az egyesületben/egyesületért, ez egy zártkörűbb rendezvény lesz szeptember 9-én, és egy nagy születésnapot szeptember 18-án, amelyen minden tag, támogató, érdeklődő jelen lehet. </w:t>
      </w:r>
      <w:r w:rsidR="00F056A9">
        <w:t>Bízunk benne, hogy jó hangulat</w:t>
      </w:r>
      <w:r w:rsidR="003864FB">
        <w:t>ú</w:t>
      </w:r>
      <w:r w:rsidR="00F056A9">
        <w:t xml:space="preserve"> rendezvényeket sikerül tartani.</w:t>
      </w:r>
    </w:p>
    <w:p w14:paraId="72162D25" w14:textId="77777777" w:rsidR="00AB4844" w:rsidRDefault="00AB4844"/>
    <w:p w14:paraId="226A8F2B" w14:textId="2937B34B" w:rsidR="00C96755" w:rsidRDefault="00C96755">
      <w:r>
        <w:t>Egy dolgozó érkezése és távozása:</w:t>
      </w:r>
    </w:p>
    <w:p w14:paraId="0B293131" w14:textId="4A6A3C9F" w:rsidR="00C96755" w:rsidRDefault="004958D8">
      <w:r>
        <w:t xml:space="preserve">Július végén távozott informatika oktató munkatársunk, és érkezett egy nemzetközi kapcsolatokért felelős új munkatárs, aki a LESEK szervezésében </w:t>
      </w:r>
      <w:proofErr w:type="spellStart"/>
      <w:r>
        <w:t>seg</w:t>
      </w:r>
      <w:r w:rsidR="003864FB">
        <w:t>í</w:t>
      </w:r>
      <w:r>
        <w:t>tkezik</w:t>
      </w:r>
      <w:proofErr w:type="spellEnd"/>
      <w:r>
        <w:t xml:space="preserve"> elsősorban. Az új informatika oktatót még keressük.</w:t>
      </w:r>
    </w:p>
    <w:p w14:paraId="35E45B2F" w14:textId="77777777" w:rsidR="004958D8" w:rsidRDefault="004958D8"/>
    <w:p w14:paraId="2560BAA8" w14:textId="3A5BDCFD" w:rsidR="00C96755" w:rsidRDefault="00C96755">
      <w:r>
        <w:t>Értékpapírszámla feletti rend</w:t>
      </w:r>
      <w:r w:rsidR="004958D8">
        <w:t>e</w:t>
      </w:r>
      <w:r>
        <w:t>lkezés átírása:</w:t>
      </w:r>
    </w:p>
    <w:p w14:paraId="1FED8CC8" w14:textId="296AF36E" w:rsidR="00C96755" w:rsidRDefault="00344F23">
      <w:r>
        <w:t>Új alapszabályunk értelmében az elnök jogosult önállóan eljárni a pénzügyi kérdésekben is. Sajnos ezt a MÁK-</w:t>
      </w:r>
      <w:proofErr w:type="spellStart"/>
      <w:r>
        <w:t>nál</w:t>
      </w:r>
      <w:proofErr w:type="spellEnd"/>
      <w:r>
        <w:t xml:space="preserve"> nem sikerült elintéznünk, mivel közel volt a megbízatási idő </w:t>
      </w:r>
      <w:r>
        <w:lastRenderedPageBreak/>
        <w:t xml:space="preserve">lejárta, és csak akkor járhatunk el náluk, ha a változásbejegyzés végig futott. Addig viszont ismételten nem tudunk hozzáférni a számlához, így megint nem tudjuk visszakötni a megtakarításunkat </w:t>
      </w:r>
      <w:proofErr w:type="gramStart"/>
      <w:r>
        <w:t>diszkont kincstárjegybe</w:t>
      </w:r>
      <w:proofErr w:type="gramEnd"/>
      <w:r>
        <w:t>, ami miatt jó pár havi névértéken elért nyereségtől esik el az egyesület. Mivel már nem együttes eljárási jog lesz, hanem az elnök önállóan is eljárhat, mindenképpen fogunk kérni webkincstárt, amit eddig az együttes eljárás miatt nem lehetett, hogy ez többet ne jelentsen akadályt, és megmaradjon a hozzáférésünk a számlához a választások után is.</w:t>
      </w:r>
    </w:p>
    <w:p w14:paraId="70A08206" w14:textId="77777777" w:rsidR="00344F23" w:rsidRDefault="00344F23"/>
    <w:p w14:paraId="3926A1EA" w14:textId="2B7FC3B8" w:rsidR="00C96755" w:rsidRDefault="00C96755">
      <w:r>
        <w:t>Önálló eljárási jogosultság az egyesület számlája felett:</w:t>
      </w:r>
    </w:p>
    <w:p w14:paraId="7944F7D6" w14:textId="4C61A146" w:rsidR="00344F23" w:rsidRPr="00344F23" w:rsidRDefault="00344F23" w:rsidP="00344F23">
      <w:r>
        <w:t>Az OTP Banknál viszont sikerült elintézni az egyesület bankszámlája feletti önálló rendelkezési jogot, így már egyedül tudok utalni, nem kell hozzá jóváhagyás. Amit az elnökségnek meg kell fontolnia, az a bankkártya igénylése, ami szintén sokban egyszerűsítené az életünket, de persze alkalmazkodást követel a könyvelőtől, és a csalások miatt további kockázatokat rejt magában. Korábban az elnökség hozott egy határozatot a bankkártyával kapcsolatos limitekről, 12/2023 (IV. 25.) Hermina Elnökségi Határozat, mely szerint „</w:t>
      </w:r>
      <w:r w:rsidRPr="00344F23">
        <w:t>A VGYHE elnöksége úgy határozott, hogy az egyesület bankkártyáját/bankkártyáit az elnök az alábbi limitekkel használhatja:</w:t>
      </w:r>
    </w:p>
    <w:p w14:paraId="65E4C60D" w14:textId="77777777" w:rsidR="00344F23" w:rsidRPr="00344F23" w:rsidRDefault="00344F23" w:rsidP="00344F23">
      <w:r w:rsidRPr="00344F23">
        <w:t>bolti POS terminálos fizetés és VPOS online: 200 ezer,</w:t>
      </w:r>
    </w:p>
    <w:p w14:paraId="148EBD90" w14:textId="290C16E2" w:rsidR="00344F23" w:rsidRDefault="00344F23" w:rsidP="00344F23">
      <w:r w:rsidRPr="00344F23">
        <w:t xml:space="preserve">napi </w:t>
      </w:r>
      <w:proofErr w:type="spellStart"/>
      <w:r w:rsidRPr="00344F23">
        <w:t>kézpénzfelvét</w:t>
      </w:r>
      <w:proofErr w:type="spellEnd"/>
      <w:r w:rsidRPr="00344F23">
        <w:t xml:space="preserve"> ATM-</w:t>
      </w:r>
      <w:proofErr w:type="spellStart"/>
      <w:r w:rsidRPr="00344F23">
        <w:t>ből</w:t>
      </w:r>
      <w:proofErr w:type="spellEnd"/>
      <w:r w:rsidRPr="00344F23">
        <w:t xml:space="preserve"> 100 ezer.</w:t>
      </w:r>
      <w:r>
        <w:t>”.</w:t>
      </w:r>
    </w:p>
    <w:p w14:paraId="14C60DAF" w14:textId="31C29076" w:rsidR="00344F23" w:rsidRDefault="00344F23">
      <w:r>
        <w:t>Ha az elnökség a bankkártya igénylése mellett dönt, ezek a limitek élnek, ha csak nem módosítjuk a határozatot.</w:t>
      </w:r>
    </w:p>
    <w:p w14:paraId="6D37D312" w14:textId="77777777" w:rsidR="00344F23" w:rsidRDefault="00344F23"/>
    <w:p w14:paraId="239B702F" w14:textId="4447BD40" w:rsidR="00C469F7" w:rsidRDefault="00C469F7">
      <w:r>
        <w:t>Tulajdonosi ellenőrzés az irodában:</w:t>
      </w:r>
    </w:p>
    <w:p w14:paraId="690E6F36" w14:textId="68A47E13" w:rsidR="00B7534B" w:rsidRDefault="00B7534B">
      <w:r>
        <w:t xml:space="preserve">A Zuglói Zrt. jelezte, hogy szeptember 16-án tulajdonosi ellenőrzést tart a bérleményben. Mivel ilyen korábban még nem történt, nem ismerjük ennek pontos menetét, azonban a bérleményt </w:t>
      </w:r>
      <w:proofErr w:type="spellStart"/>
      <w:r>
        <w:t>rendeltetésszerűen</w:t>
      </w:r>
      <w:proofErr w:type="spellEnd"/>
      <w:r>
        <w:t xml:space="preserve"> használjuk, így meglátásom szerint nincs aggódni valónk.</w:t>
      </w:r>
    </w:p>
    <w:sectPr w:rsidR="00B753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D3"/>
    <w:rsid w:val="0009535B"/>
    <w:rsid w:val="00184DEA"/>
    <w:rsid w:val="001A7FB3"/>
    <w:rsid w:val="00284BA2"/>
    <w:rsid w:val="002B6CA8"/>
    <w:rsid w:val="00320683"/>
    <w:rsid w:val="00334394"/>
    <w:rsid w:val="00340957"/>
    <w:rsid w:val="00344F23"/>
    <w:rsid w:val="00344F41"/>
    <w:rsid w:val="003864FB"/>
    <w:rsid w:val="004958D8"/>
    <w:rsid w:val="00505CD9"/>
    <w:rsid w:val="005218D3"/>
    <w:rsid w:val="005263D3"/>
    <w:rsid w:val="005E1A5A"/>
    <w:rsid w:val="007A1374"/>
    <w:rsid w:val="009829AC"/>
    <w:rsid w:val="00AB4844"/>
    <w:rsid w:val="00B7534B"/>
    <w:rsid w:val="00C469F7"/>
    <w:rsid w:val="00C96755"/>
    <w:rsid w:val="00D7172A"/>
    <w:rsid w:val="00E11DEE"/>
    <w:rsid w:val="00E40CA8"/>
    <w:rsid w:val="00E91C72"/>
    <w:rsid w:val="00F056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A23CC"/>
  <w15:chartTrackingRefBased/>
  <w15:docId w15:val="{F0454A1F-227C-4936-B968-F9BB86F7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5263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5263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5263D3"/>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5263D3"/>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5263D3"/>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5263D3"/>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5263D3"/>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5263D3"/>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5263D3"/>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263D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5263D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5263D3"/>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5263D3"/>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5263D3"/>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5263D3"/>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5263D3"/>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5263D3"/>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5263D3"/>
    <w:rPr>
      <w:rFonts w:eastAsiaTheme="majorEastAsia" w:cstheme="majorBidi"/>
      <w:color w:val="272727" w:themeColor="text1" w:themeTint="D8"/>
    </w:rPr>
  </w:style>
  <w:style w:type="paragraph" w:styleId="Cm">
    <w:name w:val="Title"/>
    <w:basedOn w:val="Norml"/>
    <w:next w:val="Norml"/>
    <w:link w:val="CmChar"/>
    <w:uiPriority w:val="10"/>
    <w:qFormat/>
    <w:rsid w:val="005263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263D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5263D3"/>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5263D3"/>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5263D3"/>
    <w:pPr>
      <w:spacing w:before="160"/>
      <w:jc w:val="center"/>
    </w:pPr>
    <w:rPr>
      <w:i/>
      <w:iCs/>
      <w:color w:val="404040" w:themeColor="text1" w:themeTint="BF"/>
    </w:rPr>
  </w:style>
  <w:style w:type="character" w:customStyle="1" w:styleId="IdzetChar">
    <w:name w:val="Idézet Char"/>
    <w:basedOn w:val="Bekezdsalapbettpusa"/>
    <w:link w:val="Idzet"/>
    <w:uiPriority w:val="29"/>
    <w:rsid w:val="005263D3"/>
    <w:rPr>
      <w:i/>
      <w:iCs/>
      <w:color w:val="404040" w:themeColor="text1" w:themeTint="BF"/>
    </w:rPr>
  </w:style>
  <w:style w:type="paragraph" w:styleId="Listaszerbekezds">
    <w:name w:val="List Paragraph"/>
    <w:basedOn w:val="Norml"/>
    <w:uiPriority w:val="34"/>
    <w:qFormat/>
    <w:rsid w:val="005263D3"/>
    <w:pPr>
      <w:ind w:left="720"/>
      <w:contextualSpacing/>
    </w:pPr>
  </w:style>
  <w:style w:type="character" w:styleId="Erskiemels">
    <w:name w:val="Intense Emphasis"/>
    <w:basedOn w:val="Bekezdsalapbettpusa"/>
    <w:uiPriority w:val="21"/>
    <w:qFormat/>
    <w:rsid w:val="005263D3"/>
    <w:rPr>
      <w:i/>
      <w:iCs/>
      <w:color w:val="0F4761" w:themeColor="accent1" w:themeShade="BF"/>
    </w:rPr>
  </w:style>
  <w:style w:type="paragraph" w:styleId="Kiemeltidzet">
    <w:name w:val="Intense Quote"/>
    <w:basedOn w:val="Norml"/>
    <w:next w:val="Norml"/>
    <w:link w:val="KiemeltidzetChar"/>
    <w:uiPriority w:val="30"/>
    <w:qFormat/>
    <w:rsid w:val="005263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5263D3"/>
    <w:rPr>
      <w:i/>
      <w:iCs/>
      <w:color w:val="0F4761" w:themeColor="accent1" w:themeShade="BF"/>
    </w:rPr>
  </w:style>
  <w:style w:type="character" w:styleId="Ershivatkozs">
    <w:name w:val="Intense Reference"/>
    <w:basedOn w:val="Bekezdsalapbettpusa"/>
    <w:uiPriority w:val="32"/>
    <w:qFormat/>
    <w:rsid w:val="005263D3"/>
    <w:rPr>
      <w:b/>
      <w:bCs/>
      <w:smallCaps/>
      <w:color w:val="0F4761" w:themeColor="accent1" w:themeShade="BF"/>
      <w:spacing w:val="5"/>
    </w:rPr>
  </w:style>
  <w:style w:type="character" w:styleId="Hiperhivatkozs">
    <w:name w:val="Hyperlink"/>
    <w:basedOn w:val="Bekezdsalapbettpusa"/>
    <w:uiPriority w:val="99"/>
    <w:unhideWhenUsed/>
    <w:rsid w:val="00320683"/>
    <w:rPr>
      <w:color w:val="467886" w:themeColor="hyperlink"/>
      <w:u w:val="single"/>
    </w:rPr>
  </w:style>
  <w:style w:type="character" w:styleId="Feloldatlanmegemlts">
    <w:name w:val="Unresolved Mention"/>
    <w:basedOn w:val="Bekezdsalapbettpusa"/>
    <w:uiPriority w:val="99"/>
    <w:semiHidden/>
    <w:unhideWhenUsed/>
    <w:rsid w:val="00320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kosoft.hu/webaruhaz/termek/vprogue-braille-nyomtat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1024</Words>
  <Characters>7071</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Bukta Bence</dc:creator>
  <cp:keywords/>
  <dc:description/>
  <cp:lastModifiedBy>Bukta Bence</cp:lastModifiedBy>
  <cp:revision>18</cp:revision>
  <dcterms:created xsi:type="dcterms:W3CDTF">2025-08-27T06:02:00Z</dcterms:created>
  <dcterms:modified xsi:type="dcterms:W3CDTF">2025-08-27T08:05:00Z</dcterms:modified>
</cp:coreProperties>
</file>